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88" w:rsidRPr="00787BF1" w:rsidRDefault="00EA1388" w:rsidP="00EA1388">
      <w:pPr>
        <w:pStyle w:val="Heading2"/>
      </w:pPr>
      <w:bookmarkStart w:id="0" w:name="_Toc155342864"/>
      <w:bookmarkStart w:id="1" w:name="_GoBack"/>
      <w:r w:rsidRPr="00787BF1">
        <w:rPr>
          <w:b/>
          <w:sz w:val="24"/>
        </w:rPr>
        <w:t>186. LUẬT KINH TẾ QUỐC TẾ</w:t>
      </w:r>
      <w:bookmarkEnd w:id="1"/>
      <w:r w:rsidRPr="00787BF1">
        <w:rPr>
          <w:bCs/>
        </w:rPr>
        <w:t>,</w:t>
      </w:r>
      <w:r w:rsidRPr="00787BF1">
        <w:rPr>
          <w:b/>
          <w:bCs/>
        </w:rPr>
        <w:t xml:space="preserve"> </w:t>
      </w:r>
      <w:r w:rsidRPr="00787BF1">
        <w:t>tập hợp các nguyên tắc và chuẩn mực điều chỉnh các quan hệ kinh tế giữa các quốc gia và các chủ thể khác của luật quốc tế.</w:t>
      </w:r>
      <w:bookmarkEnd w:id="0"/>
    </w:p>
    <w:p w:rsidR="00EA1388" w:rsidRPr="00787BF1" w:rsidRDefault="00EA1388" w:rsidP="00EA1388">
      <w:pPr>
        <w:widowControl w:val="0"/>
        <w:spacing w:before="120"/>
        <w:ind w:firstLine="284"/>
        <w:jc w:val="both"/>
        <w:rPr>
          <w:szCs w:val="28"/>
        </w:rPr>
      </w:pPr>
      <w:r w:rsidRPr="00787BF1">
        <w:rPr>
          <w:szCs w:val="28"/>
        </w:rPr>
        <w:t>Chủ thể của LKTQT trước hết là các quốc gia có quyền trực tiếp tham gia vào hoạt động kinh tế đối ngoại. Các chủ thể của LKTQT cũng bao gồm các tổ chức kinh tế giữa các quốc gia và các tổ chức khác, liên minh thuế quan, liên minh kinh tế, v.v.</w:t>
      </w:r>
    </w:p>
    <w:p w:rsidR="00EA1388" w:rsidRPr="00787BF1" w:rsidRDefault="00EA1388" w:rsidP="00EA1388">
      <w:pPr>
        <w:widowControl w:val="0"/>
        <w:spacing w:before="120"/>
        <w:ind w:firstLine="284"/>
        <w:jc w:val="both"/>
        <w:rPr>
          <w:szCs w:val="28"/>
        </w:rPr>
      </w:pPr>
      <w:r w:rsidRPr="00787BF1">
        <w:rPr>
          <w:szCs w:val="28"/>
        </w:rPr>
        <w:t>Đối tượng điều chỉnh của LKTQT là các quan hệ kinh tế quốc tế đa phương và song phương giữa các quốc gia, cũng như các chủ thể khác của công pháp quốc tế. Đó là các quan hệ kinh tế - thương mại, cũng như quan hệ thương mại trong các lĩnh vực sản xuất, khoa học và kỹ thuật, tiền tệ và tài chính, vận tải, thông tin liên lạc, năng lượng, sở hữu trí tuệ, du lịch, v.v.</w:t>
      </w:r>
    </w:p>
    <w:p w:rsidR="00EA1388" w:rsidRPr="00787BF1" w:rsidRDefault="00EA1388" w:rsidP="00EA1388">
      <w:pPr>
        <w:widowControl w:val="0"/>
        <w:spacing w:before="120"/>
        <w:ind w:firstLine="284"/>
        <w:jc w:val="both"/>
        <w:rPr>
          <w:szCs w:val="28"/>
        </w:rPr>
      </w:pPr>
      <w:r w:rsidRPr="00787BF1">
        <w:rPr>
          <w:szCs w:val="28"/>
        </w:rPr>
        <w:t xml:space="preserve">Nguồn của LKTQT là các điều ước kinh tế quốc tế chung, ví dụ, các Hiệp định đa phương của Tổ chức Thương mại Thế giới (WTO), các quyết định (khuyến nghị) của các tổ chức quốc tế được các cơ quan của </w:t>
      </w:r>
      <w:r>
        <w:rPr>
          <w:szCs w:val="28"/>
        </w:rPr>
        <w:t>Liên hợp quốc</w:t>
      </w:r>
      <w:r w:rsidRPr="00787BF1">
        <w:rPr>
          <w:szCs w:val="28"/>
        </w:rPr>
        <w:t xml:space="preserve">, cũng như các cơ quan chuyên môn của </w:t>
      </w:r>
      <w:r>
        <w:rPr>
          <w:szCs w:val="28"/>
        </w:rPr>
        <w:t>Liên hợp quốc</w:t>
      </w:r>
      <w:r w:rsidRPr="00787BF1">
        <w:rPr>
          <w:szCs w:val="28"/>
        </w:rPr>
        <w:t xml:space="preserve"> chấp nhận. Các quyết định của các cơ quan và tổ chức này thường không có tính ràng buộc pháp lý, nhưng chỉ mang tính chất tư vấn, ví dụ như Hướng dẫn pháp lý “Về các giao dịch thương mại quốc tế” do Ủy ban </w:t>
      </w:r>
      <w:r>
        <w:rPr>
          <w:szCs w:val="28"/>
        </w:rPr>
        <w:t>Liên hợp quốc</w:t>
      </w:r>
      <w:r w:rsidRPr="00787BF1">
        <w:rPr>
          <w:szCs w:val="28"/>
        </w:rPr>
        <w:t xml:space="preserve"> về Luật Thương mại Quốc tế (UNCITRAL) soạn thảo. Các quy định của một số thể chế kinh tế khu vực không chỉ có thể mang tính tư vấn mà còn có thể mang tính ràng buộc.</w:t>
      </w:r>
    </w:p>
    <w:p w:rsidR="00EA1388" w:rsidRPr="00787BF1" w:rsidRDefault="00EA1388" w:rsidP="00EA1388">
      <w:pPr>
        <w:widowControl w:val="0"/>
        <w:spacing w:before="120"/>
        <w:ind w:firstLine="284"/>
        <w:jc w:val="both"/>
        <w:rPr>
          <w:szCs w:val="28"/>
        </w:rPr>
      </w:pPr>
      <w:r w:rsidRPr="00787BF1">
        <w:rPr>
          <w:szCs w:val="28"/>
        </w:rPr>
        <w:t>Mặc dù các hiệp định đa phương có ý nghĩa quan trọng, hợp tác trong lĩnh vực kinh tế hầu hết được thực hiện trên cơ sở các hiệp định song phương. Trong số các điều ước quốc tế điều chỉnh quan hệ kinh tế song phương, cần chọn ra những điều ước có tính chất chính trị khuôn khổ chung, cụ thể là những điều ước hữu nghị, hợp tác và tương trợ.</w:t>
      </w:r>
    </w:p>
    <w:p w:rsidR="00EA1388" w:rsidRPr="00787BF1" w:rsidRDefault="00EA1388" w:rsidP="00EA1388">
      <w:pPr>
        <w:widowControl w:val="0"/>
        <w:spacing w:before="120"/>
        <w:ind w:firstLine="284"/>
        <w:jc w:val="both"/>
        <w:rPr>
          <w:szCs w:val="28"/>
        </w:rPr>
      </w:pPr>
      <w:r w:rsidRPr="00787BF1">
        <w:rPr>
          <w:szCs w:val="28"/>
        </w:rPr>
        <w:t>Các thỏa thuận dài hạn về hợp tác kinh tế và thương mại xác định các lĩnh vực và hình thức hợp tác cụ thể: Thương mại hàng hóa/dịch vụ, đầu tư, sở hữu trí tuệ và giải quyết tranh chấp chính sách thương mại giữa các quốc gia…</w:t>
      </w:r>
    </w:p>
    <w:p w:rsidR="00EA1388" w:rsidRPr="00787BF1" w:rsidRDefault="00EA1388" w:rsidP="00EA1388">
      <w:pPr>
        <w:widowControl w:val="0"/>
        <w:spacing w:before="120"/>
        <w:ind w:firstLine="284"/>
        <w:jc w:val="both"/>
        <w:rPr>
          <w:szCs w:val="28"/>
        </w:rPr>
      </w:pPr>
      <w:r w:rsidRPr="00787BF1">
        <w:rPr>
          <w:szCs w:val="28"/>
        </w:rPr>
        <w:t xml:space="preserve">Thông thường, trong quan hệ kinh tế quốc tế, các quốc gia ký kết các thỏa thuận có nội dung hẹp hơn về hợp tác sản xuất, bao gồm chuyên môn hóa và hợp tác sản xuất và hợp tác giao hàng, quan hệ hương mại và các loại hình hợp tác kinh tế khác gắn liền với tiền tệ, thanh toán và hỗ trợ tài chính trên cơ sở các thỏa thuận về thanh toán tiền tệ quốc tế và các khoản vay. Các thỏa thuận thanh toán bù trừ quy định sự bù trừ lẫn nhau giữa các khoản thu và chi trong thương mại hai chiều, các giao dịch kinh tế và không cần quy đổi số dư bằng ngoại tệ (hoàn trả bằng cách giao hàng hóa và dịch vụ), hoặc có sự dịch chuyển, theo các điều kiện nhất định, của số dư bằng đồng tiền tự do chuyển đổi. Các thỏa thuận tín dụng có thể tồn tại ở dạng thuần túy - việc Nhà nước này cung cấp cho Nhà nước khác một khoản vay bằng tiền mặt, hàng hóa hoặc dạng hỗn hợp với nghĩa vụ hoàn trả khoản vay. Nhưng hiện tại, các khoản cho vay có mục tiêu hoặc có điều kiện được cung cấp để mua hàng hóa cụ thể từ Nhà nước chủ nợ - nguyên liệu thô, thực phẩm, công nghiệp, cũng như vũ khí, v.v., được sử dụng rộng rãi hơn. Đồng thời, các </w:t>
      </w:r>
      <w:r w:rsidRPr="00787BF1">
        <w:rPr>
          <w:szCs w:val="28"/>
        </w:rPr>
        <w:lastRenderedPageBreak/>
        <w:t xml:space="preserve">khoản vay có thể liên quan đến việc Nhà nước vay nợ cung cấp cho Nhà nước chủ nợ những lợi ích kinh tế, chính trị, ngoại giao nhất định. </w:t>
      </w:r>
    </w:p>
    <w:p w:rsidR="00EA1388" w:rsidRPr="00787BF1" w:rsidRDefault="00EA1388" w:rsidP="00EA1388">
      <w:pPr>
        <w:spacing w:before="120"/>
        <w:ind w:firstLine="284"/>
        <w:jc w:val="right"/>
        <w:rPr>
          <w:sz w:val="22"/>
        </w:rPr>
      </w:pPr>
      <w:r w:rsidRPr="00787BF1">
        <w:rPr>
          <w:b/>
          <w:bCs/>
          <w:szCs w:val="28"/>
        </w:rPr>
        <w:t xml:space="preserve"> </w:t>
      </w:r>
      <w:r w:rsidRPr="00787BF1">
        <w:rPr>
          <w:b/>
          <w:bCs/>
          <w:sz w:val="22"/>
        </w:rPr>
        <w:t>ĐINH NGỌC VƯỢNG </w:t>
      </w:r>
    </w:p>
    <w:p w:rsidR="00EA1388" w:rsidRPr="00787BF1" w:rsidRDefault="00EA1388" w:rsidP="00EA1388">
      <w:pPr>
        <w:tabs>
          <w:tab w:val="left" w:pos="567"/>
        </w:tabs>
        <w:spacing w:before="120"/>
        <w:ind w:firstLine="284"/>
        <w:rPr>
          <w:sz w:val="24"/>
          <w:szCs w:val="24"/>
        </w:rPr>
      </w:pPr>
      <w:r w:rsidRPr="00787BF1">
        <w:rPr>
          <w:b/>
          <w:bCs/>
          <w:sz w:val="24"/>
          <w:szCs w:val="24"/>
        </w:rPr>
        <w:t>Tài liệu tham khảo:</w:t>
      </w:r>
    </w:p>
    <w:p w:rsidR="00EA1388" w:rsidRPr="00787BF1" w:rsidRDefault="00EA1388" w:rsidP="00EA1388">
      <w:pPr>
        <w:numPr>
          <w:ilvl w:val="0"/>
          <w:numId w:val="1"/>
        </w:numPr>
        <w:tabs>
          <w:tab w:val="clear" w:pos="720"/>
          <w:tab w:val="left" w:pos="567"/>
        </w:tabs>
        <w:spacing w:before="120"/>
        <w:ind w:left="0" w:firstLine="284"/>
        <w:contextualSpacing/>
        <w:jc w:val="both"/>
        <w:rPr>
          <w:sz w:val="24"/>
          <w:szCs w:val="24"/>
        </w:rPr>
      </w:pPr>
      <w:r w:rsidRPr="00787BF1">
        <w:rPr>
          <w:sz w:val="24"/>
          <w:szCs w:val="24"/>
        </w:rPr>
        <w:t xml:space="preserve">Nguyễn Hồng Thao, Trịnh Hải Yến, </w:t>
      </w:r>
      <w:r w:rsidRPr="00787BF1">
        <w:rPr>
          <w:i/>
          <w:iCs/>
          <w:sz w:val="24"/>
          <w:szCs w:val="24"/>
        </w:rPr>
        <w:t>Giáo trình Luật Kinh tế quốc tế</w:t>
      </w:r>
      <w:r w:rsidRPr="00787BF1">
        <w:rPr>
          <w:sz w:val="24"/>
          <w:szCs w:val="24"/>
        </w:rPr>
        <w:t>, Nxb. Đại học Quốc gia Hà Nội, 2020.</w:t>
      </w:r>
    </w:p>
    <w:p w:rsidR="00EA1388" w:rsidRPr="00787BF1" w:rsidRDefault="00EA1388" w:rsidP="00EA1388">
      <w:pPr>
        <w:numPr>
          <w:ilvl w:val="0"/>
          <w:numId w:val="1"/>
        </w:numPr>
        <w:tabs>
          <w:tab w:val="clear" w:pos="720"/>
          <w:tab w:val="left" w:pos="567"/>
        </w:tabs>
        <w:spacing w:before="120"/>
        <w:ind w:left="0" w:firstLine="284"/>
        <w:contextualSpacing/>
        <w:jc w:val="both"/>
        <w:rPr>
          <w:sz w:val="24"/>
          <w:szCs w:val="24"/>
        </w:rPr>
      </w:pPr>
      <w:r w:rsidRPr="00787BF1">
        <w:rPr>
          <w:sz w:val="24"/>
          <w:szCs w:val="24"/>
        </w:rPr>
        <w:t xml:space="preserve">Шумилов В. М., </w:t>
      </w:r>
      <w:r w:rsidRPr="00787BF1">
        <w:rPr>
          <w:i/>
          <w:iCs/>
          <w:sz w:val="24"/>
          <w:szCs w:val="24"/>
        </w:rPr>
        <w:t>Международное право</w:t>
      </w:r>
      <w:r w:rsidRPr="00787BF1">
        <w:rPr>
          <w:sz w:val="24"/>
          <w:szCs w:val="24"/>
        </w:rPr>
        <w:t>, М., 2007.</w:t>
      </w:r>
    </w:p>
    <w:p w:rsidR="00EA1388" w:rsidRPr="00787BF1" w:rsidRDefault="00EA1388" w:rsidP="00EA1388">
      <w:pPr>
        <w:numPr>
          <w:ilvl w:val="0"/>
          <w:numId w:val="1"/>
        </w:numPr>
        <w:tabs>
          <w:tab w:val="clear" w:pos="720"/>
          <w:tab w:val="left" w:pos="567"/>
        </w:tabs>
        <w:spacing w:before="120"/>
        <w:ind w:left="0" w:firstLine="284"/>
        <w:contextualSpacing/>
        <w:jc w:val="both"/>
        <w:rPr>
          <w:sz w:val="24"/>
          <w:szCs w:val="24"/>
        </w:rPr>
      </w:pPr>
      <w:r w:rsidRPr="00787BF1">
        <w:rPr>
          <w:sz w:val="24"/>
          <w:szCs w:val="24"/>
        </w:rPr>
        <w:t xml:space="preserve">Вельяминов Г. М., </w:t>
      </w:r>
      <w:r w:rsidRPr="00787BF1">
        <w:rPr>
          <w:i/>
          <w:iCs/>
          <w:sz w:val="24"/>
          <w:szCs w:val="24"/>
        </w:rPr>
        <w:t>Международное экономическое право и процесс (академический курс</w:t>
      </w:r>
      <w:r w:rsidRPr="00787BF1">
        <w:rPr>
          <w:sz w:val="24"/>
          <w:szCs w:val="24"/>
        </w:rPr>
        <w:t>), М., 2004. С. 35-51.</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728B"/>
    <w:multiLevelType w:val="multilevel"/>
    <w:tmpl w:val="EA52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88"/>
    <w:rsid w:val="001324E1"/>
    <w:rsid w:val="005630BE"/>
    <w:rsid w:val="00666C5C"/>
    <w:rsid w:val="00A849F3"/>
    <w:rsid w:val="00EA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0A30B-CFFC-41D1-BBA1-FEF8A45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388"/>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EA1388"/>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EA1388"/>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2025-12-15T03:57:00Z</dcterms:created>
  <dcterms:modified xsi:type="dcterms:W3CDTF">2025-12-15T03:58:00Z</dcterms:modified>
</cp:coreProperties>
</file>